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2D" w:rsidRDefault="00834C2D" w:rsidP="00834C2D">
      <w:pPr>
        <w:widowControl/>
        <w:adjustRightInd w:val="0"/>
        <w:spacing w:line="360" w:lineRule="auto"/>
        <w:jc w:val="left"/>
        <w:outlineLvl w:val="0"/>
        <w:rPr>
          <w:rFonts w:ascii="Times New Roman" w:hAnsi="Times New Roman" w:cs="Times New Roman" w:hint="eastAsia"/>
          <w:b/>
          <w:bCs/>
          <w:color w:val="333333"/>
          <w:kern w:val="36"/>
          <w:sz w:val="32"/>
          <w:szCs w:val="32"/>
        </w:rPr>
      </w:pPr>
      <w:r w:rsidRPr="00834C2D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218F16" wp14:editId="5E7B298A">
            <wp:simplePos x="0" y="0"/>
            <wp:positionH relativeFrom="column">
              <wp:posOffset>3772535</wp:posOffset>
            </wp:positionH>
            <wp:positionV relativeFrom="paragraph">
              <wp:posOffset>246380</wp:posOffset>
            </wp:positionV>
            <wp:extent cx="1433195" cy="1773555"/>
            <wp:effectExtent l="0" t="0" r="0" b="0"/>
            <wp:wrapSquare wrapText="bothSides"/>
            <wp:docPr id="2215" name="图片 37" descr="张毅证件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" name="图片 37" descr="张毅证件照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C2D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  <w:t>张毅</w:t>
      </w:r>
    </w:p>
    <w:p w:rsidR="00834C2D" w:rsidRPr="00834C2D" w:rsidRDefault="00834C2D" w:rsidP="00834C2D">
      <w:pPr>
        <w:widowControl/>
        <w:adjustRightInd w:val="0"/>
        <w:spacing w:line="360" w:lineRule="auto"/>
        <w:ind w:right="1284"/>
        <w:jc w:val="right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1998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       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毕业于日本东京大学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获博士学位。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1998-2003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   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博士后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, University of Pennsylvania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2003-2007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 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研究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助理教授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,University of Pennsylvania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2007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      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助理教授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创建独立的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免疫学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研究室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                 University of Michigan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曾任苏州大学微生物和免疫学助教授、副教授（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1989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－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2000)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苏州市第二人民医院儿科医师和团总支书记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(1983-1986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，苏州市青年联合会委员（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1984-1994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），并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曾获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国务院特殊津贴科学家和江苏优秀青年教师奖。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现兼任复旦大学中山医院客座教授。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firstLine="45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免疫反应是人体抗感染和抗肿瘤的最基本作用之一。张毅教授所带领的科研团队，长期从事炎症免疫学和肿瘤免疫学的研究，并于近期发现了一组新型的表观遗传学调控分子，这些分子在调节免疫细胞反应中有极其重要的作用。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现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已建立了调控表观遗传学分子的遗传学及药理学方法。动物实验研究证明这些新方法可用于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治疗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各种炎症性疾病，如抑制移植免疫排斥反应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,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和慢性自身免疫炎症疾病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等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。另外，团队建立了可产生长效抗肿瘤免疫细胞的方法及培养试剂。相关技术已获美国专利（专利号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: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PCT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/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US2010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/039417)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。该技术专利可用于建立肿瘤免疫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治疗的新方法。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firstLineChars="200" w:firstLine="482"/>
        <w:rPr>
          <w:rFonts w:ascii="Times New Roman" w:hAnsi="Times New Roman" w:cs="Times New Roman"/>
          <w:b/>
          <w:color w:val="333333"/>
          <w:kern w:val="0"/>
          <w:sz w:val="24"/>
          <w:szCs w:val="24"/>
        </w:rPr>
      </w:pPr>
      <w:bookmarkStart w:id="0" w:name="_GoBack"/>
      <w:r w:rsidRPr="00834C2D">
        <w:rPr>
          <w:rFonts w:ascii="Times New Roman" w:hAnsi="Times New Roman" w:cs="Times New Roman"/>
          <w:b/>
          <w:color w:val="333333"/>
          <w:kern w:val="0"/>
          <w:sz w:val="24"/>
          <w:szCs w:val="24"/>
        </w:rPr>
        <w:t>近五年代表性论文：</w:t>
      </w:r>
    </w:p>
    <w:bookmarkEnd w:id="0"/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1.He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Xie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F, Li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YN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Tong Q, Mochizuki K,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Lapinski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PE, Mani RE, Reddy R, Izumi Mochizuki I,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Chinnaiyan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AM,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Mineishi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King PD, and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. The histone methyltransferase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Ezh2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is a crucial epigenetic regulator of allogeneic T cell responses mediating graft-versus-host disease. Blood, 2013.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通讯作者，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(IF=9.06)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2. He S,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Xie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F, Li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YN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Tong Q, Mochizuki K,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Lapinski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PE, Mani RE, Reddy R, Izumi Mochizuki I,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Chinnaiyan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AM,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Mineishi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King PD, and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. Histone methyltransferase and histone methylation in inflammatory T cell responses. Immunotherapy, 2013.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通讯作者，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(IF=2.93)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lastRenderedPageBreak/>
        <w:t xml:space="preserve">3. Mochizuki K,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Xie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F, He S, Tong Q, Liu Y,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Guo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YJ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Kato K,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Yagita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H,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Mineishi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and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*. Delta-like Ligand 4 Identifies a Previously Uncharacterized Population of Inflammatory Dendritic Cells That Plays Important Roles in Eliciting Allogeneic T-cell Responses in Mice. Journal of Immunology, 2012(190): 3772-82.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通讯作者，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(IF=5.52)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4. Singh L, Brennan TA, Kim JH, Egan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KP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McMillan EA, Chen Q,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Hankenson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KD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,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. Long-Term Functional Engraftment of Mesenchymal Progenitor Cells in a Mouse Model of Accelerated Aging. Stem Cells, 2012(31): 607-11.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通讯作者，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(IF=4.67)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5. Wong G, Richardson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JS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Pillet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Patel A,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Qiu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X,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Alimonti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J, Hogan J,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Takada A,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Feldmann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H,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Kobinger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GP. </w:t>
      </w:r>
      <w:proofErr w:type="gram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Immune Parameters Correlating with 1 Protection against Ebola Virus Infection in Rodents and Nonhuman Primates.</w:t>
      </w:r>
      <w:proofErr w:type="gram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Science Translational Medicine, 2012(4): 146-58.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第八作者，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(IF=10.757)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6. He S, Wang J, Kato K,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Varambally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Xie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F,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Kuick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R,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Mineishi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Liu Y, Nieves E, Mani R,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Chinnaiyan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AM, Marquez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VE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and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*. Inhibition of histone methylation arrests ongoing graft-versus-host disease in mice by selectively inducing apoptosis of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alloreactive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effector T cells. Blood, 2012(116): 1274-8.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通讯作者，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(IF=9.06)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7. Mochizuki K, He S, and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*. Notch and Inflammatory T </w:t>
      </w:r>
      <w:proofErr w:type="gram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Cell</w:t>
      </w:r>
      <w:proofErr w:type="gram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Response: New Developments and Challenges. Immunotherapy, 2011(11): 1353-66. 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(IF=2.393).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8. He S, Kato K, Jiang J, Wahl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DR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Mineishi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Fisher EM,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Murasko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DM, Glick GD and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*. Characterization of the metabolic phenotype of rapamycin-resistant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CD8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+ T cells with augmented ability to generate long-lasting memory cells.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PLoS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ONE, 2011(6): 1371.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通讯作者，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(IF=3.73)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9. 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Sandy AR, Wang J, Shan GT,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Radojcic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V, Tran I, Friedman A, Kato K, He S, Cui S,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Hexner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E, Frank D, Emerson SG, Pear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WS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Maillard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I. Kato K, Cui S,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Kuick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R,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Mineishi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Notch signaling is a critical regulator of allogeneic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CD4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+ T 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lastRenderedPageBreak/>
        <w:t>cell responses mediating graft-versus-host disease. Blood, 2011(117): 299.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第一作者，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(IF=9.06)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10.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Hexner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E, Ferrara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JLM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, Emerson SG,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*. Identification of stem cell transcriptional programs normally expressed in embryonic and neural stem cells in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alloreactive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CD8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+ T cells mediating graft-versus-host disease. Biology of Bone Marrow Transplantation , 2010(16): 751-71.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通讯作者，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(IF=3.94)</w:t>
      </w:r>
    </w:p>
    <w:p w:rsidR="00E44C96" w:rsidRPr="00834C2D" w:rsidRDefault="00E44C96" w:rsidP="00834C2D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4C96" w:rsidRPr="00834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5C"/>
    <w:rsid w:val="00834C2D"/>
    <w:rsid w:val="009D715C"/>
    <w:rsid w:val="00E4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34C2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4C2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34C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34C2D"/>
  </w:style>
  <w:style w:type="character" w:customStyle="1" w:styleId="artiupdate">
    <w:name w:val="arti_update"/>
    <w:basedOn w:val="a0"/>
    <w:rsid w:val="00834C2D"/>
  </w:style>
  <w:style w:type="character" w:customStyle="1" w:styleId="artiviews">
    <w:name w:val="arti_views"/>
    <w:basedOn w:val="a0"/>
    <w:rsid w:val="00834C2D"/>
  </w:style>
  <w:style w:type="character" w:customStyle="1" w:styleId="wpvisitcount">
    <w:name w:val="wp_visitcount"/>
    <w:basedOn w:val="a0"/>
    <w:rsid w:val="00834C2D"/>
  </w:style>
  <w:style w:type="paragraph" w:styleId="a3">
    <w:name w:val="Normal (Web)"/>
    <w:basedOn w:val="a"/>
    <w:uiPriority w:val="99"/>
    <w:semiHidden/>
    <w:unhideWhenUsed/>
    <w:rsid w:val="00834C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4C2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34C2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4C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34C2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4C2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34C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34C2D"/>
  </w:style>
  <w:style w:type="character" w:customStyle="1" w:styleId="artiupdate">
    <w:name w:val="arti_update"/>
    <w:basedOn w:val="a0"/>
    <w:rsid w:val="00834C2D"/>
  </w:style>
  <w:style w:type="character" w:customStyle="1" w:styleId="artiviews">
    <w:name w:val="arti_views"/>
    <w:basedOn w:val="a0"/>
    <w:rsid w:val="00834C2D"/>
  </w:style>
  <w:style w:type="character" w:customStyle="1" w:styleId="wpvisitcount">
    <w:name w:val="wp_visitcount"/>
    <w:basedOn w:val="a0"/>
    <w:rsid w:val="00834C2D"/>
  </w:style>
  <w:style w:type="paragraph" w:styleId="a3">
    <w:name w:val="Normal (Web)"/>
    <w:basedOn w:val="a"/>
    <w:uiPriority w:val="99"/>
    <w:semiHidden/>
    <w:unhideWhenUsed/>
    <w:rsid w:val="00834C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4C2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34C2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4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jxq</dc:creator>
  <cp:keywords/>
  <dc:description/>
  <cp:lastModifiedBy>jxq</cp:lastModifiedBy>
  <cp:revision>3</cp:revision>
  <dcterms:created xsi:type="dcterms:W3CDTF">2020-11-12T02:36:00Z</dcterms:created>
  <dcterms:modified xsi:type="dcterms:W3CDTF">2020-11-12T02:39:00Z</dcterms:modified>
</cp:coreProperties>
</file>